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Vlada Crne Gore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(u daljem tekstu Država), polazeći od člana 14 i člana 46 Ustava Crne Gore i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Crnogorska pravoslavna Crkva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(u daljem tekstu: Crkva ili CPC) na osnovu člana 1 i člana 3 Ustava Crnogorske pravoslavne Crkve,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(u daljem tekstu: ugovorne strane)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 dobroj volji, a u cilju daljeg uređenja uzajamne saradnje na ostvarenju: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ustavom zagarantovanih prava na slobodu vjeroispovijesti i prava na ispoljavanja vjere i religijskih uvjerenja;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osiguranja uslova za neometano i puno djelovanje Crnogorske pravoslavne Crkve i njenog sveštenstva sa Ustavom CPC i pozitivnim zakonima države Crne Gore;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očuvanja tradicije, kulturne baštine i istorijskog nasleđa Crnogorske pravoslavne Crkve i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vjerujućih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pravoslavnih Crnogoraca,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zaključuju sljedeći:</w:t>
      </w: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UGOVOR</w:t>
      </w: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O PITANJIMA O ZAJEDNIČKOGA INTERESA</w:t>
      </w: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IZMEĐU CRNE GORE I CRNOGORSKE PRAVOSLAVNE CRKVE</w:t>
      </w:r>
    </w:p>
    <w:p w:rsidR="00175E21" w:rsidRPr="004A5B3C" w:rsidRDefault="00175E21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1.</w:t>
      </w:r>
    </w:p>
    <w:p w:rsidR="009444BB" w:rsidRPr="004A5B3C" w:rsidRDefault="009444BB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Vlada Crne Gore i Crnogorska pravoslavna crkva, zaključenjem ovog Ugovora dodatno potvrđuju da će Država i CPC, svaka u okviru svojih nadležnosti i djelovanja, poštovati međunarodno priznata načela o odvojenosti vjerskih zajednica od države i slobodi vjere i nacionalnog opredjeljenja, te međusobno sarađivati u cilju punog ostvarenja prava na slobodu vjeroispovijesti </w:t>
      </w:r>
      <w:r w:rsidRPr="004A5B3C">
        <w:rPr>
          <w:rFonts w:ascii="Garamond" w:hAnsi="Garamond" w:cs="Times New Roman"/>
          <w:sz w:val="30"/>
          <w:szCs w:val="30"/>
          <w:lang w:val="sr-Latn-ME"/>
        </w:rPr>
        <w:lastRenderedPageBreak/>
        <w:t xml:space="preserve">i ostvarivanja uslova za unaprjeđenje vjerskih prava, vršenja vjerskih obreda i ukupnog djelovanja Crkve, njenog sveštenstva i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vjerujućeg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naroda crnogorskog.</w:t>
      </w:r>
    </w:p>
    <w:p w:rsidR="00175E21" w:rsidRPr="004A5B3C" w:rsidRDefault="00175E21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2.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Država jamči Crkvi, shodno članu 1. Ustava CPC, crkveno-pravnim licima, sveštenstvu, monaštvu i pravoslavnim vjernicima CPC slobodu vjeroispovijesti neometano vršenja njene apostolske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jevanđeoske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misije u pogledu bogosluženja, crkvene uprave, prosvjete i vjerske propovijedi.</w:t>
      </w:r>
    </w:p>
    <w:p w:rsidR="009444BB" w:rsidRPr="004A5B3C" w:rsidRDefault="009444BB" w:rsidP="00175E21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3.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Država se obavezuje da će, u okvirima ustavnog i pravnog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poretka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, za sveštenstvo Crnogorske pravoslavne crkve i pravoslavne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vjerujuće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Crnogorce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obezbijediti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punu primjenu ustavne odredbe o zabrani diskriminacije po bilo kom osnovu i punu primjenu člana 15 Ustava Crne Gore kojim se utvrđuje da su sve vjerske zajednice ravnopravne i slobodne u vršenju vjerskih obreda i vjerskih poslova.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4.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Ugovorne strane su saglasne da je CPC imala pravni subjektivitet i prije stupanja na snagu ovog Ugovora i Zakona.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5.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Crnogorska pravoslavna Crkva, polazeći od ostvarenog subjektiviteta, potvrđenog aktima Države i kao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sljedbenica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i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nasljednik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Autokefalne Crnogorske pravoslavne crkve (ustavno normirane u članu 40 stav 2 Ustava za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Knjaževinu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Crnu Goru, a ukinute aktom Kraljevine SHS. 17. juna 1920. godine), ima isključivo pravo da u skladu sa kanonskim pravom i Ustavom Crkve uređuje </w:t>
      </w:r>
      <w:r w:rsidRPr="004A5B3C">
        <w:rPr>
          <w:rFonts w:ascii="Garamond" w:hAnsi="Garamond" w:cs="Times New Roman"/>
          <w:sz w:val="30"/>
          <w:szCs w:val="30"/>
          <w:lang w:val="sr-Latn-ME"/>
        </w:rPr>
        <w:lastRenderedPageBreak/>
        <w:t>sopstveno ustrojstvo, osniva parohije, eparhije, manastire i druge crkvene organizacione jedinice.</w:t>
      </w:r>
    </w:p>
    <w:p w:rsidR="00175E21" w:rsidRPr="004A5B3C" w:rsidRDefault="00175E21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6.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Crkva je nadležna za sva crkvena imenovanja, premještaje, postavljenja pravoslavnog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hirotonije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,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hirotesije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i oduzimanja crkvenih službi,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temeljem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kanonskoga prava i Ustava crkve.</w:t>
      </w:r>
    </w:p>
    <w:p w:rsidR="009444BB" w:rsidRPr="004A5B3C" w:rsidRDefault="009444BB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će, na prikladan način, biti obaviještena o izboru Mitropolita CPC nakon izbora, a prije objavljivanja.</w:t>
      </w:r>
    </w:p>
    <w:p w:rsidR="00175E21" w:rsidRPr="004A5B3C" w:rsidRDefault="00175E21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7.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jemči Crkvi slobodu vršenja liturgije, vjerskih obreda i humanitarnih djelatnosti u svim pravoslavnim crkvama i manastirima na državnoj teritoriji, koji su podignuti sredstvima i radom crnogorskih pravoslavnih vjernika ili sredstvima Države.</w:t>
      </w:r>
    </w:p>
    <w:p w:rsidR="009444BB" w:rsidRPr="004A5B3C" w:rsidRDefault="009444BB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jemči Crkvi slobodu vršenja vjerskih obreda i ostalih vjerskih djelatnosti na javnim mjestima, otvorenim prostorima i mjestima značajnim za do</w:t>
      </w:r>
      <w:r w:rsidR="0057001F" w:rsidRPr="004A5B3C">
        <w:rPr>
          <w:rFonts w:ascii="Garamond" w:hAnsi="Garamond" w:cs="Times New Roman"/>
          <w:sz w:val="30"/>
          <w:szCs w:val="30"/>
          <w:lang w:val="sr-Latn-ME"/>
        </w:rPr>
        <w:t>gađaje iz istorije Crne Gore i c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>rnogorskog naroda, na grobljima i drugim crkvenim prostorima, u skladu sa zakonom.</w:t>
      </w:r>
    </w:p>
    <w:p w:rsidR="00175E21" w:rsidRPr="004A5B3C" w:rsidRDefault="00175E21" w:rsidP="00175E21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8.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 slučaju pokretanja krivičnoga ili prekršajnoga postupka protiv klirika CPC i laika u službi Crkve, državni organ koji vodi postupak će o tome obavijestiti nadležnoga arhijereja CPC.</w:t>
      </w:r>
    </w:p>
    <w:p w:rsidR="004A5B3C" w:rsidRDefault="004A5B3C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4A5B3C" w:rsidRDefault="004A5B3C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4A5B3C" w:rsidRPr="004A5B3C" w:rsidRDefault="004A5B3C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lastRenderedPageBreak/>
        <w:t>Član 9.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garantuje da je tajna ispovijesti vjernika potpunosti i uvijek i nepovrediva.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10.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Kao neradni dana za pravoslavne hrišćane u Crnoj Gori su predviđene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neđelje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i vjerski praznici: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Badnji dan 6. januar,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Božić 7 i 8 januar,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Veliki Petak,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Vaskrsni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poneđeljnik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,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Dan Krsne slave.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Ugovorne strane su saglasne da će uposlenima pravoslavnim vjernicima CPC kod poslodavca omogućiti jednodnevno praznovanje za krsnu slavu, kao i za: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Svetoga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Vasilija Ostroškoga 12. maja;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Svetoga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Stefana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Piperskoga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02. juna;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Svetog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Vladimira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Dukljanskog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04. juna;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Svetoga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lvana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Crnojevića 04. jula;</w:t>
      </w:r>
    </w:p>
    <w:p w:rsidR="009444BB" w:rsidRPr="004A5B3C" w:rsidRDefault="009444BB" w:rsidP="009444BB">
      <w:pPr>
        <w:pStyle w:val="ListParagraph"/>
        <w:numPr>
          <w:ilvl w:val="0"/>
          <w:numId w:val="1"/>
        </w:num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Svetoga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Petra Cetinjskoga 31. oktobra.</w:t>
      </w: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11.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Crkva ima pravo da kupuje,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pośeduje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, koristi, otuđuje pokretna i nepokretna dobra, stiče imovinska prava prema odredbama Ustava CPC, pravoslavnih kanona i pozitivnih zakona Crne Gore.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Crkva ima pravo da osniva fondacije u skladu sa ustavnim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poretkom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Države.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12.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Crkva ima pravo da gradi crkve, saborne crkve i manastire i da dograđuje postojeće objekte, u skladu sa pravnim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poretkom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Države.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Nadležne vlasti u Crnoj Gori neće razmatrati odluku o izgradnji vjerskih pravoslavnih objekata, koje nemaju pismeno odobrenje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nedležnog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episkopa CPC.</w:t>
      </w:r>
    </w:p>
    <w:p w:rsidR="00175E21" w:rsidRPr="004A5B3C" w:rsidRDefault="009444BB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se obavezuje da omogući Crkvi da učestvuje u izradi prostorno-planskih dokumenata u cilju stvaranja zakonskih uslova za izgradnju crkava i manastira.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novčano i materijalno pomaže Crkvu prilikom izgradnje i obnove pravoslavnih crkvenih objekata, posebno onih koji imaju kulturno istorijsku vrijednost za Državu Crnu Goru i pravoslavne Crnogorce.</w:t>
      </w:r>
    </w:p>
    <w:p w:rsidR="00657793" w:rsidRPr="004A5B3C" w:rsidRDefault="00657793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13.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pomaže Crkvu o očuvanju istorijskih vrijednosti, dokumenata, arhivske građe i drugih pokretnih i nepokretnih dobara koji su istorijsko nasljeđe Crnogorske pravoslavne crkve, od uništenja, otuđenja, nezakonitog iznošenja iz države ili drugih nedozvoljenih radnji.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Imovina iz stava 1 ovog člana koja predstavlja kulturnu baštinu Crne Gore ne može se otuđiti, niti iznijeti iz države bez saglasnosti Vlade Crne Gore.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14.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Restitucija dobara, oduzetih, nacionalizovanih ili neovlašćeno upisanih na druge vlasnike bez odgovarajuće naknade, biće sprovedena u skladu sa zakonom koji će uređivati materiju restitucije u Crnoj Gori, uz prethodni dogovor sa kompetentnom crkvenom vlašću CPC.</w:t>
      </w:r>
    </w:p>
    <w:p w:rsidR="009444BB" w:rsidRPr="004A5B3C" w:rsidRDefault="009444BB" w:rsidP="00175E21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lastRenderedPageBreak/>
        <w:t>Radi utvrđivanja nekretnina koje treba prenijeti u vlasništvo CPC ili adekvatno nadoknaditi, biće ustanovljena Mješovita Komisija, sastavljena od predstavnika ugovornih strana.</w:t>
      </w:r>
    </w:p>
    <w:p w:rsidR="00175E21" w:rsidRPr="004A5B3C" w:rsidRDefault="00175E21" w:rsidP="00175E21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15.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Crkva ima pravo da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pośeduje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, štampa, izdaje i distribuira knjige, novine, časopise, audio-vizuelne materijale duhovnoga, prosvjetnoga, kulturnoga i naučnoga sadržaja u skladu sa pozitivnim zakonima i propisima.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Crkva ima pravo da osniva radio-televizijske stanice, u skladu sa pozitivnim zakonima Države.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Crkva ima pristup javnim sredstvima informisanja.</w:t>
      </w:r>
    </w:p>
    <w:p w:rsidR="009444BB" w:rsidRPr="004A5B3C" w:rsidRDefault="009444BB" w:rsidP="00175E21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16.</w:t>
      </w:r>
    </w:p>
    <w:p w:rsidR="0041769E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Crkva ima pravo da, saglasno Ustavu CPC, osniva vjerske škole za srednje i visoko obrazovanje sveštenika i vjerskih službenika</w:t>
      </w:r>
    </w:p>
    <w:p w:rsidR="00B06696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Ugovorne strane će posebnim ugovorom urediti pitanje stipendiranja i školovanja crnogorskih državljana u obrazovnim institucijama za obrazovanje vjerskih službenika CPC u inostranstvu</w:t>
      </w:r>
      <w:r w:rsidR="00B06696"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B06696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Ugovorne strane će posebnim ugovorom urediti</w:t>
      </w:r>
      <w:r w:rsidR="0041769E" w:rsidRPr="004A5B3C">
        <w:rPr>
          <w:rFonts w:ascii="Garamond" w:hAnsi="Garamond" w:cs="Times New Roman"/>
          <w:sz w:val="30"/>
          <w:szCs w:val="30"/>
          <w:lang w:val="sr-Latn-ME"/>
        </w:rPr>
        <w:t xml:space="preserve">  </w:t>
      </w:r>
      <w:r w:rsidR="007046D4" w:rsidRPr="004A5B3C">
        <w:rPr>
          <w:rFonts w:ascii="Garamond" w:hAnsi="Garamond" w:cs="Times New Roman"/>
          <w:sz w:val="30"/>
          <w:szCs w:val="30"/>
          <w:lang w:val="sr-Latn-ME"/>
        </w:rPr>
        <w:t xml:space="preserve">pitanje </w:t>
      </w:r>
      <w:r w:rsidR="00924525" w:rsidRPr="004A5B3C">
        <w:rPr>
          <w:rFonts w:ascii="Garamond" w:hAnsi="Garamond" w:cs="Times New Roman"/>
          <w:sz w:val="30"/>
          <w:szCs w:val="30"/>
          <w:lang w:val="sr-Latn-ME"/>
        </w:rPr>
        <w:t>novčane podrške za osnivanje</w:t>
      </w:r>
      <w:r w:rsidR="007046D4" w:rsidRPr="004A5B3C">
        <w:rPr>
          <w:rFonts w:ascii="Garamond" w:hAnsi="Garamond" w:cs="Times New Roman"/>
          <w:sz w:val="30"/>
          <w:szCs w:val="30"/>
          <w:lang w:val="sr-Latn-ME"/>
        </w:rPr>
        <w:t xml:space="preserve"> </w:t>
      </w:r>
      <w:r w:rsidR="00924525" w:rsidRPr="004A5B3C">
        <w:rPr>
          <w:rFonts w:ascii="Garamond" w:hAnsi="Garamond" w:cs="Times New Roman"/>
          <w:sz w:val="30"/>
          <w:szCs w:val="30"/>
          <w:lang w:val="sr-Latn-ME"/>
        </w:rPr>
        <w:t>vjerskih obrazovnih institucija Crnogorske pravoslavne crkve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i njihovo finansiranje</w:t>
      </w:r>
      <w:r w:rsidR="009444BB"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17.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priznaje pravo roditelja i staraoca na vjersko školovanje njihove maloljetne dece.</w:t>
      </w:r>
    </w:p>
    <w:p w:rsidR="009444BB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4A5B3C" w:rsidRPr="004A5B3C" w:rsidRDefault="004A5B3C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  <w:bookmarkStart w:id="0" w:name="_GoBack"/>
      <w:bookmarkEnd w:id="0"/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lastRenderedPageBreak/>
        <w:t>Član 18.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će stvoriti uslove da Crkva uspješnije ostvaruje pravo da duhovno brine o pravoslavnim vjernicima u vojsci, policiji, bolnicama, zatvorima i svim drugim zdravstvenim i socijalnim ustanovama.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19.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Crkva ima pravo da osniva dobrotvorne i socijalne ustanove u skladu sa pozitivnim propisima države Crne Gore i njihov pravni položaj je istovjetan državnim ustanovama iste namjene.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20.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U cilju praćenja primjene ovog Ugovora i ostvarenja unaprjeđenja saradnje i uspješnijeg ostvarenja ugovornih obaveza i prava, strane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su saglasne da se obrazuje Mješovita komisija, koju će činiti po tri predstavnika obje strane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Mješovita Komisija će biti formirana u roku od 30 dana od dana potpisivanja Ugovora i sastajati te se po potrebi, a najmanje jednom u šest mjeseci i dužna je strane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izvještavati o svom radu.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Mjšovita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komisija, za slučaj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povrede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prava navedenih u članovima 3, 7 i 13, dužna je odmah po saznanju izvijestiti strane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ugovornice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t>Član 21.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Ugovor se zaključuje na neodređeno vrijeme, a može se mijenjati saglasnošću strana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Država i Crkva će sve eventualne sporove u primjeni ovog Ugovora rješavati međusobnim dogovorom.</w:t>
      </w:r>
    </w:p>
    <w:p w:rsidR="009444BB" w:rsidRPr="004A5B3C" w:rsidRDefault="009444BB" w:rsidP="009444BB">
      <w:pPr>
        <w:spacing w:line="360" w:lineRule="auto"/>
        <w:jc w:val="both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jc w:val="center"/>
        <w:rPr>
          <w:rFonts w:ascii="Garamond" w:hAnsi="Garamond" w:cs="Times New Roman"/>
          <w:b/>
          <w:sz w:val="30"/>
          <w:szCs w:val="30"/>
          <w:lang w:val="sr-Latn-ME"/>
        </w:rPr>
      </w:pPr>
      <w:r w:rsidRPr="004A5B3C">
        <w:rPr>
          <w:rFonts w:ascii="Garamond" w:hAnsi="Garamond" w:cs="Times New Roman"/>
          <w:b/>
          <w:sz w:val="30"/>
          <w:szCs w:val="30"/>
          <w:lang w:val="sr-Latn-ME"/>
        </w:rPr>
        <w:lastRenderedPageBreak/>
        <w:t>Član 22.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Ovaj Ugovor je sačinjen u četiri primjerka na crnogorskom jeziku, od kojih se pod dva nalaze kod strana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ugovornica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>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 stupa na snagu danom potpisivanja.</w:t>
      </w:r>
    </w:p>
    <w:p w:rsidR="009444BB" w:rsidRPr="004A5B3C" w:rsidRDefault="009444BB" w:rsidP="009444BB">
      <w:pPr>
        <w:spacing w:line="360" w:lineRule="auto"/>
        <w:ind w:firstLine="720"/>
        <w:jc w:val="both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Ugovor će se objaviti u "Službenom listu Crne Gore" i "Lučindanu" Službenom listu Crnogorske pravoslavne crkve.</w:t>
      </w: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>Na Cetinju,   _____   _________   _________. godine</w:t>
      </w: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</w:p>
    <w:p w:rsidR="009444BB" w:rsidRPr="004A5B3C" w:rsidRDefault="00B53F54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     </w:t>
      </w:r>
      <w:r w:rsidR="00175E21" w:rsidRPr="004A5B3C">
        <w:rPr>
          <w:rFonts w:ascii="Garamond" w:hAnsi="Garamond" w:cs="Times New Roman"/>
          <w:sz w:val="30"/>
          <w:szCs w:val="30"/>
          <w:lang w:val="sr-Latn-ME"/>
        </w:rPr>
        <w:t>Za Vladu Crne Gore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  <w:t xml:space="preserve">          </w:t>
      </w:r>
      <w:r w:rsidR="004A5B3C">
        <w:rPr>
          <w:rFonts w:ascii="Garamond" w:hAnsi="Garamond" w:cs="Times New Roman"/>
          <w:sz w:val="30"/>
          <w:szCs w:val="30"/>
          <w:lang w:val="sr-Latn-ME"/>
        </w:rPr>
        <w:t xml:space="preserve">          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 </w:t>
      </w:r>
      <w:r w:rsidR="009444BB" w:rsidRPr="004A5B3C">
        <w:rPr>
          <w:rFonts w:ascii="Garamond" w:hAnsi="Garamond" w:cs="Times New Roman"/>
          <w:sz w:val="30"/>
          <w:szCs w:val="30"/>
          <w:lang w:val="sr-Latn-ME"/>
        </w:rPr>
        <w:t>Za Crnogorsku pravoslavnu crkvu</w:t>
      </w:r>
    </w:p>
    <w:p w:rsidR="00B53F54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Predsjednik Vlade </w:t>
      </w:r>
      <w:r w:rsidR="00175E21" w:rsidRPr="004A5B3C">
        <w:rPr>
          <w:rFonts w:ascii="Garamond" w:hAnsi="Garamond" w:cs="Times New Roman"/>
          <w:sz w:val="30"/>
          <w:szCs w:val="30"/>
          <w:lang w:val="sr-Latn-ME"/>
        </w:rPr>
        <w:t>Crne Gore</w:t>
      </w:r>
      <w:r w:rsidR="00175E21"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="00B53F54" w:rsidRPr="004A5B3C">
        <w:rPr>
          <w:rFonts w:ascii="Garamond" w:hAnsi="Garamond" w:cs="Times New Roman"/>
          <w:sz w:val="30"/>
          <w:szCs w:val="30"/>
          <w:lang w:val="sr-Latn-ME"/>
        </w:rPr>
        <w:t xml:space="preserve">      </w:t>
      </w:r>
      <w:r w:rsidR="004A5B3C">
        <w:rPr>
          <w:rFonts w:ascii="Garamond" w:hAnsi="Garamond" w:cs="Times New Roman"/>
          <w:sz w:val="30"/>
          <w:szCs w:val="30"/>
          <w:lang w:val="sr-Latn-ME"/>
        </w:rPr>
        <w:t xml:space="preserve">                        </w:t>
      </w:r>
      <w:r w:rsidR="00B53F54" w:rsidRPr="004A5B3C">
        <w:rPr>
          <w:rFonts w:ascii="Garamond" w:hAnsi="Garamond" w:cs="Times New Roman"/>
          <w:sz w:val="30"/>
          <w:szCs w:val="30"/>
          <w:lang w:val="sr-Latn-ME"/>
        </w:rPr>
        <w:t xml:space="preserve"> Arhiepiskop cetinjski i</w:t>
      </w:r>
    </w:p>
    <w:p w:rsidR="009444BB" w:rsidRPr="004A5B3C" w:rsidRDefault="00B53F54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                                                                            </w:t>
      </w:r>
      <w:r w:rsidR="004A5B3C">
        <w:rPr>
          <w:rFonts w:ascii="Garamond" w:hAnsi="Garamond" w:cs="Times New Roman"/>
          <w:sz w:val="30"/>
          <w:szCs w:val="30"/>
          <w:lang w:val="sr-Latn-ME"/>
        </w:rPr>
        <w:t xml:space="preserve">   </w:t>
      </w:r>
      <w:r w:rsidR="009444BB" w:rsidRPr="004A5B3C">
        <w:rPr>
          <w:rFonts w:ascii="Garamond" w:hAnsi="Garamond" w:cs="Times New Roman"/>
          <w:sz w:val="30"/>
          <w:szCs w:val="30"/>
          <w:lang w:val="sr-Latn-ME"/>
        </w:rPr>
        <w:t>Mitropolit crnogorski</w:t>
      </w:r>
    </w:p>
    <w:p w:rsidR="009444BB" w:rsidRPr="004A5B3C" w:rsidRDefault="009444BB" w:rsidP="009444BB">
      <w:pPr>
        <w:spacing w:line="360" w:lineRule="auto"/>
        <w:rPr>
          <w:rFonts w:ascii="Garamond" w:hAnsi="Garamond" w:cs="Times New Roman"/>
          <w:sz w:val="30"/>
          <w:szCs w:val="30"/>
          <w:lang w:val="sr-Latn-ME"/>
        </w:rPr>
      </w:pPr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     Dr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Dritan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</w:t>
      </w:r>
      <w:proofErr w:type="spellStart"/>
      <w:r w:rsidRPr="004A5B3C">
        <w:rPr>
          <w:rFonts w:ascii="Garamond" w:hAnsi="Garamond" w:cs="Times New Roman"/>
          <w:sz w:val="30"/>
          <w:szCs w:val="30"/>
          <w:lang w:val="sr-Latn-ME"/>
        </w:rPr>
        <w:t>Abazović</w:t>
      </w:r>
      <w:proofErr w:type="spellEnd"/>
      <w:r w:rsidRPr="004A5B3C">
        <w:rPr>
          <w:rFonts w:ascii="Garamond" w:hAnsi="Garamond" w:cs="Times New Roman"/>
          <w:sz w:val="30"/>
          <w:szCs w:val="30"/>
          <w:lang w:val="sr-Latn-ME"/>
        </w:rPr>
        <w:t xml:space="preserve"> </w:t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</w:r>
      <w:r w:rsidRPr="004A5B3C">
        <w:rPr>
          <w:rFonts w:ascii="Garamond" w:hAnsi="Garamond" w:cs="Times New Roman"/>
          <w:sz w:val="30"/>
          <w:szCs w:val="30"/>
          <w:lang w:val="sr-Latn-ME"/>
        </w:rPr>
        <w:tab/>
        <w:t xml:space="preserve">    Mihailo</w:t>
      </w:r>
    </w:p>
    <w:p w:rsidR="009A4AAA" w:rsidRPr="004A5B3C" w:rsidRDefault="009A4AAA">
      <w:pPr>
        <w:rPr>
          <w:rFonts w:ascii="Garamond" w:hAnsi="Garamond" w:cs="Times New Roman"/>
          <w:sz w:val="30"/>
          <w:szCs w:val="30"/>
          <w:lang w:val="sr-Latn-ME"/>
        </w:rPr>
      </w:pPr>
    </w:p>
    <w:sectPr w:rsidR="009A4AAA" w:rsidRPr="004A5B3C" w:rsidSect="004A5B3C">
      <w:footerReference w:type="default" r:id="rId7"/>
      <w:pgSz w:w="11906" w:h="16838"/>
      <w:pgMar w:top="1418" w:right="1304" w:bottom="1418" w:left="1304" w:header="425" w:footer="11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70" w:rsidRDefault="00574D70">
      <w:pPr>
        <w:spacing w:line="240" w:lineRule="auto"/>
      </w:pPr>
      <w:r>
        <w:separator/>
      </w:r>
    </w:p>
  </w:endnote>
  <w:endnote w:type="continuationSeparator" w:id="0">
    <w:p w:rsidR="00574D70" w:rsidRDefault="0057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39" w:rsidRPr="00103C21" w:rsidRDefault="00574D70" w:rsidP="005E1D39">
    <w:pPr>
      <w:pStyle w:val="Footer"/>
      <w:pBdr>
        <w:bottom w:val="single" w:sz="6" w:space="1" w:color="auto"/>
      </w:pBdr>
      <w:tabs>
        <w:tab w:val="center" w:pos="4513"/>
        <w:tab w:val="left" w:pos="6787"/>
      </w:tabs>
      <w:jc w:val="center"/>
      <w:rPr>
        <w:rFonts w:asciiTheme="majorHAnsi" w:hAnsiTheme="majorHAnsi" w:cstheme="majorHAnsi"/>
        <w:i/>
        <w:color w:val="808080" w:themeColor="background1" w:themeShade="80"/>
        <w:sz w:val="2"/>
        <w:szCs w:val="2"/>
      </w:rPr>
    </w:pPr>
  </w:p>
  <w:p w:rsidR="005E1D39" w:rsidRPr="006B413C" w:rsidRDefault="00574D70" w:rsidP="005E1D39">
    <w:pPr>
      <w:pStyle w:val="Footer"/>
      <w:tabs>
        <w:tab w:val="center" w:pos="4513"/>
        <w:tab w:val="left" w:pos="6787"/>
      </w:tabs>
      <w:jc w:val="center"/>
      <w:rPr>
        <w:rFonts w:asciiTheme="majorHAnsi" w:hAnsiTheme="majorHAnsi" w:cstheme="majorHAnsi"/>
        <w:i/>
        <w:color w:val="808080" w:themeColor="background1" w:themeShade="80"/>
        <w:lang w:val="it-IT"/>
      </w:rPr>
    </w:pPr>
    <w:sdt>
      <w:sdtPr>
        <w:rPr>
          <w:rFonts w:asciiTheme="majorHAnsi" w:hAnsiTheme="majorHAnsi" w:cstheme="majorHAnsi"/>
          <w:i/>
          <w:color w:val="808080" w:themeColor="background1" w:themeShade="80"/>
        </w:rPr>
        <w:id w:val="18627800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cstheme="majorHAnsi"/>
              <w:i/>
              <w:color w:val="808080" w:themeColor="background1" w:themeShade="8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t>UGOVOR O PITANJIMA O ZAJEDNIČKOGA INTERESA IZMEĐU CRNE GORE I</w:t>
            </w:r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br/>
              <w:t>CRNOGORSKE PRAVOSLAVNE CRKVE</w:t>
            </w:r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br/>
            </w:r>
            <w:proofErr w:type="spellStart"/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t>Stranica</w:t>
            </w:r>
            <w:proofErr w:type="spellEnd"/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t xml:space="preserve"> </w: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instrText xml:space="preserve"> PAGE </w:instrTex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70C88">
              <w:rPr>
                <w:rFonts w:asciiTheme="majorHAnsi" w:hAnsiTheme="majorHAnsi" w:cstheme="majorHAnsi"/>
                <w:b/>
                <w:bCs/>
                <w:i/>
                <w:noProof/>
                <w:color w:val="808080" w:themeColor="background1" w:themeShade="80"/>
                <w:sz w:val="18"/>
                <w:szCs w:val="18"/>
                <w:lang w:val="it-IT"/>
              </w:rPr>
              <w:t>7</w: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end"/>
            </w:r>
            <w:r w:rsidR="005C0EE0" w:rsidRPr="00BB19B5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szCs w:val="18"/>
                <w:lang w:val="it-IT"/>
              </w:rPr>
              <w:t xml:space="preserve"> od </w: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  <w:lang w:val="it-IT"/>
              </w:rPr>
              <w:instrText xml:space="preserve"> NUMPAGES  </w:instrTex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A70C88">
              <w:rPr>
                <w:rFonts w:asciiTheme="majorHAnsi" w:hAnsiTheme="majorHAnsi" w:cstheme="majorHAnsi"/>
                <w:b/>
                <w:bCs/>
                <w:i/>
                <w:noProof/>
                <w:color w:val="808080" w:themeColor="background1" w:themeShade="80"/>
                <w:sz w:val="18"/>
                <w:szCs w:val="18"/>
                <w:lang w:val="it-IT"/>
              </w:rPr>
              <w:t>8</w:t>
            </w:r>
            <w:r w:rsidR="005C0EE0" w:rsidRPr="00BB19B5">
              <w:rPr>
                <w:rFonts w:asciiTheme="majorHAnsi" w:hAnsiTheme="majorHAnsi" w:cstheme="majorHAnsi"/>
                <w:b/>
                <w:bCs/>
                <w:i/>
                <w:color w:val="808080" w:themeColor="background1" w:themeShade="80"/>
                <w:sz w:val="18"/>
                <w:szCs w:val="18"/>
              </w:rPr>
              <w:fldChar w:fldCharType="end"/>
            </w:r>
          </w:sdtContent>
        </w:sdt>
      </w:sdtContent>
    </w:sdt>
  </w:p>
  <w:p w:rsidR="005E1D39" w:rsidRPr="006B413C" w:rsidRDefault="00574D70">
    <w:pPr>
      <w:pStyle w:val="Footer"/>
      <w:rPr>
        <w:rFonts w:asciiTheme="majorHAnsi" w:hAnsiTheme="majorHAnsi" w:cstheme="majorHAnsi"/>
        <w:i/>
        <w:color w:val="808080" w:themeColor="background1" w:themeShade="8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70" w:rsidRDefault="00574D70">
      <w:pPr>
        <w:spacing w:line="240" w:lineRule="auto"/>
      </w:pPr>
      <w:r>
        <w:separator/>
      </w:r>
    </w:p>
  </w:footnote>
  <w:footnote w:type="continuationSeparator" w:id="0">
    <w:p w:rsidR="00574D70" w:rsidRDefault="00574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55CA"/>
    <w:multiLevelType w:val="hybridMultilevel"/>
    <w:tmpl w:val="70A6FFD6"/>
    <w:lvl w:ilvl="0" w:tplc="7C8EB5A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72"/>
    <w:rsid w:val="000853CE"/>
    <w:rsid w:val="00170477"/>
    <w:rsid w:val="00175E21"/>
    <w:rsid w:val="002449B7"/>
    <w:rsid w:val="0041769E"/>
    <w:rsid w:val="004A5B3C"/>
    <w:rsid w:val="0057001F"/>
    <w:rsid w:val="00574D70"/>
    <w:rsid w:val="005C0EE0"/>
    <w:rsid w:val="00657793"/>
    <w:rsid w:val="00664809"/>
    <w:rsid w:val="007046D4"/>
    <w:rsid w:val="00781AE5"/>
    <w:rsid w:val="00924525"/>
    <w:rsid w:val="009444BB"/>
    <w:rsid w:val="00955572"/>
    <w:rsid w:val="009A4AAA"/>
    <w:rsid w:val="00A70C88"/>
    <w:rsid w:val="00B06696"/>
    <w:rsid w:val="00B53F54"/>
    <w:rsid w:val="00F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F1C5"/>
  <w15:docId w15:val="{7A094CFB-FD85-4472-B7AD-64430B56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44BB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444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4B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Stevo</dc:creator>
  <cp:keywords/>
  <dc:description/>
  <cp:lastModifiedBy>admin</cp:lastModifiedBy>
  <cp:revision>6</cp:revision>
  <cp:lastPrinted>2023-05-17T14:27:00Z</cp:lastPrinted>
  <dcterms:created xsi:type="dcterms:W3CDTF">2023-05-17T14:19:00Z</dcterms:created>
  <dcterms:modified xsi:type="dcterms:W3CDTF">2023-05-17T14:27:00Z</dcterms:modified>
</cp:coreProperties>
</file>